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EDD" w:rsidRDefault="009D1EDD" w:rsidP="009D1EDD">
      <w:pPr>
        <w:rPr>
          <w:lang w:val="el-GR"/>
        </w:rPr>
      </w:pPr>
      <w:r>
        <w:rPr>
          <w:lang w:val="el-GR"/>
        </w:rPr>
        <w:t>ΠΡΟΔΙΑΓΡΑΦΕΣ ΤΩΝ ΑΝΤΙΔΡΑΣΤΗΡΙΩΝ ΚΥΤΤΑΡΟΜΕΤΡΙΑΣ ΑΝΕΥ ΣΥΝΟΔΟΥ ΕΞΟΠΛΙΣΜΟΥ</w:t>
      </w:r>
    </w:p>
    <w:p w:rsidR="009D1EDD" w:rsidRDefault="009D1EDD" w:rsidP="009D1EDD">
      <w:pPr>
        <w:rPr>
          <w:lang w:val="el-GR"/>
        </w:rPr>
      </w:pPr>
    </w:p>
    <w:p w:rsidR="009D1EDD" w:rsidRDefault="009D1EDD" w:rsidP="009D1EDD">
      <w:pPr>
        <w:pStyle w:val="1"/>
        <w:spacing w:line="240" w:lineRule="auto"/>
        <w:rPr>
          <w:highlight w:val="yellow"/>
        </w:rPr>
      </w:pPr>
      <w:r>
        <w:rPr>
          <w:highlight w:val="yellow"/>
        </w:rPr>
        <w:t>1.</w:t>
      </w:r>
      <w:r>
        <w:rPr>
          <w:highlight w:val="yellow"/>
        </w:rPr>
        <w:tab/>
        <w:t xml:space="preserve">Τα </w:t>
      </w:r>
      <w:proofErr w:type="spellStart"/>
      <w:r>
        <w:rPr>
          <w:highlight w:val="yellow"/>
        </w:rPr>
        <w:t>μονοκλωνικά</w:t>
      </w:r>
      <w:proofErr w:type="spellEnd"/>
      <w:r>
        <w:rPr>
          <w:highlight w:val="yellow"/>
        </w:rPr>
        <w:t xml:space="preserve"> αντισώματα πρέπει να είναι συνδεδεμένα με τα ζητούμενα </w:t>
      </w:r>
      <w:proofErr w:type="spellStart"/>
      <w:r>
        <w:rPr>
          <w:highlight w:val="yellow"/>
        </w:rPr>
        <w:t>φθοριοχρώματα</w:t>
      </w:r>
      <w:proofErr w:type="spellEnd"/>
      <w:r>
        <w:rPr>
          <w:highlight w:val="yellow"/>
        </w:rPr>
        <w:t>, ή αντίστοιχα, πχ.</w:t>
      </w:r>
    </w:p>
    <w:p w:rsidR="009D1EDD" w:rsidRDefault="009D1EDD" w:rsidP="009D1EDD">
      <w:pPr>
        <w:pStyle w:val="1"/>
        <w:spacing w:line="240" w:lineRule="auto"/>
        <w:rPr>
          <w:highlight w:val="yellow"/>
          <w:lang w:val="en-US"/>
        </w:rPr>
      </w:pPr>
      <w:r>
        <w:rPr>
          <w:highlight w:val="yellow"/>
          <w:lang w:val="en-US"/>
        </w:rPr>
        <w:t xml:space="preserve">PE-Cy7 </w:t>
      </w:r>
      <w:r>
        <w:rPr>
          <w:rFonts w:cs="Calibri"/>
          <w:highlight w:val="yellow"/>
        </w:rPr>
        <w:t>ή</w:t>
      </w:r>
      <w:r>
        <w:rPr>
          <w:highlight w:val="yellow"/>
          <w:lang w:val="en-US"/>
        </w:rPr>
        <w:t xml:space="preserve"> PC7</w:t>
      </w:r>
    </w:p>
    <w:p w:rsidR="009D1EDD" w:rsidRDefault="009D1EDD" w:rsidP="009D1EDD">
      <w:pPr>
        <w:pStyle w:val="1"/>
        <w:spacing w:line="240" w:lineRule="auto"/>
        <w:rPr>
          <w:highlight w:val="yellow"/>
          <w:lang w:val="en-US"/>
        </w:rPr>
      </w:pPr>
      <w:proofErr w:type="spellStart"/>
      <w:r>
        <w:rPr>
          <w:highlight w:val="yellow"/>
          <w:lang w:val="en-US"/>
        </w:rPr>
        <w:t>PerCP</w:t>
      </w:r>
      <w:proofErr w:type="spellEnd"/>
      <w:r>
        <w:rPr>
          <w:highlight w:val="yellow"/>
          <w:lang w:val="en-US"/>
        </w:rPr>
        <w:t xml:space="preserve">-Cy 5.5 </w:t>
      </w:r>
      <w:r>
        <w:rPr>
          <w:rFonts w:cs="Calibri"/>
          <w:highlight w:val="yellow"/>
        </w:rPr>
        <w:t>ή</w:t>
      </w:r>
      <w:r>
        <w:rPr>
          <w:highlight w:val="yellow"/>
          <w:lang w:val="en-US"/>
        </w:rPr>
        <w:t xml:space="preserve"> PC5.5</w:t>
      </w:r>
    </w:p>
    <w:p w:rsidR="009D1EDD" w:rsidRDefault="009D1EDD" w:rsidP="009D1EDD">
      <w:pPr>
        <w:pStyle w:val="1"/>
        <w:spacing w:line="240" w:lineRule="auto"/>
        <w:rPr>
          <w:highlight w:val="yellow"/>
          <w:lang w:val="en-US"/>
        </w:rPr>
      </w:pPr>
      <w:r>
        <w:rPr>
          <w:highlight w:val="yellow"/>
          <w:lang w:val="en-US"/>
        </w:rPr>
        <w:t xml:space="preserve">APC-H7 </w:t>
      </w:r>
      <w:r>
        <w:rPr>
          <w:rFonts w:cs="Calibri"/>
          <w:highlight w:val="yellow"/>
        </w:rPr>
        <w:t>ή</w:t>
      </w:r>
      <w:r>
        <w:rPr>
          <w:highlight w:val="yellow"/>
          <w:lang w:val="en-US"/>
        </w:rPr>
        <w:t xml:space="preserve"> APC-A750 </w:t>
      </w:r>
      <w:r>
        <w:rPr>
          <w:rFonts w:cs="Calibri"/>
          <w:highlight w:val="yellow"/>
        </w:rPr>
        <w:t>ή</w:t>
      </w:r>
      <w:r>
        <w:rPr>
          <w:highlight w:val="yellow"/>
          <w:lang w:val="en-US"/>
        </w:rPr>
        <w:t xml:space="preserve"> APC-CY7 </w:t>
      </w:r>
      <w:r>
        <w:rPr>
          <w:rFonts w:cs="Calibri"/>
          <w:highlight w:val="yellow"/>
        </w:rPr>
        <w:t>ή</w:t>
      </w:r>
      <w:r>
        <w:rPr>
          <w:highlight w:val="yellow"/>
          <w:lang w:val="en-US"/>
        </w:rPr>
        <w:t xml:space="preserve"> APC/Fire 750</w:t>
      </w:r>
    </w:p>
    <w:p w:rsidR="009D1EDD" w:rsidRDefault="009D1EDD" w:rsidP="009D1EDD">
      <w:pPr>
        <w:pStyle w:val="1"/>
        <w:spacing w:line="240" w:lineRule="auto"/>
        <w:rPr>
          <w:highlight w:val="yellow"/>
          <w:lang w:val="en-US"/>
        </w:rPr>
      </w:pPr>
      <w:r>
        <w:rPr>
          <w:highlight w:val="yellow"/>
          <w:lang w:val="en-US"/>
        </w:rPr>
        <w:t xml:space="preserve">APC-R700 </w:t>
      </w:r>
      <w:r>
        <w:rPr>
          <w:rFonts w:cs="Calibri"/>
          <w:highlight w:val="yellow"/>
        </w:rPr>
        <w:t>ή</w:t>
      </w:r>
      <w:r>
        <w:rPr>
          <w:highlight w:val="yellow"/>
          <w:lang w:val="en-US"/>
        </w:rPr>
        <w:t xml:space="preserve"> APC-A700</w:t>
      </w:r>
    </w:p>
    <w:p w:rsidR="009D1EDD" w:rsidRDefault="009D1EDD" w:rsidP="009D1EDD">
      <w:pPr>
        <w:pStyle w:val="1"/>
        <w:spacing w:line="240" w:lineRule="auto"/>
        <w:rPr>
          <w:lang w:val="en-US"/>
        </w:rPr>
      </w:pPr>
      <w:r>
        <w:rPr>
          <w:highlight w:val="yellow"/>
          <w:lang w:val="en-US"/>
        </w:rPr>
        <w:t xml:space="preserve">V450 </w:t>
      </w:r>
      <w:r>
        <w:rPr>
          <w:highlight w:val="yellow"/>
        </w:rPr>
        <w:t>ή</w:t>
      </w:r>
      <w:r>
        <w:rPr>
          <w:highlight w:val="yellow"/>
          <w:lang w:val="en-US"/>
        </w:rPr>
        <w:t xml:space="preserve"> Pacific Blue</w:t>
      </w:r>
    </w:p>
    <w:p w:rsidR="009D1EDD" w:rsidRDefault="009D1EDD" w:rsidP="009D1EDD">
      <w:pPr>
        <w:spacing w:line="240" w:lineRule="auto"/>
      </w:pPr>
    </w:p>
    <w:p w:rsidR="009D1EDD" w:rsidRDefault="009D1EDD" w:rsidP="009D1EDD">
      <w:pPr>
        <w:spacing w:line="240" w:lineRule="auto"/>
        <w:rPr>
          <w:lang w:val="el-GR"/>
        </w:rPr>
      </w:pPr>
      <w:r>
        <w:rPr>
          <w:lang w:val="el-GR"/>
        </w:rPr>
        <w:t>2.</w:t>
      </w:r>
      <w:r>
        <w:rPr>
          <w:lang w:val="el-GR"/>
        </w:rPr>
        <w:tab/>
        <w:t xml:space="preserve">Τα ζητούμενα αντιδραστήρια να είναι  έτοιμα προς χρήση. </w:t>
      </w:r>
    </w:p>
    <w:p w:rsidR="009D1EDD" w:rsidRDefault="009D1EDD" w:rsidP="009D1EDD">
      <w:pPr>
        <w:spacing w:line="240" w:lineRule="auto"/>
        <w:rPr>
          <w:lang w:val="el-GR"/>
        </w:rPr>
      </w:pPr>
      <w:r>
        <w:rPr>
          <w:lang w:val="el-GR"/>
        </w:rPr>
        <w:t>3.</w:t>
      </w:r>
      <w:r>
        <w:rPr>
          <w:lang w:val="el-GR"/>
        </w:rPr>
        <w:tab/>
        <w:t>Τα ζητούμενα αντιδραστήρια να διαθέτουν  πιστοποίηση για κλινική διάγνωση (</w:t>
      </w:r>
      <w:r>
        <w:t>CE</w:t>
      </w:r>
      <w:r>
        <w:rPr>
          <w:lang w:val="el-GR"/>
        </w:rPr>
        <w:t>-</w:t>
      </w:r>
      <w:r>
        <w:t>IVD</w:t>
      </w:r>
      <w:r>
        <w:rPr>
          <w:lang w:val="el-GR"/>
        </w:rPr>
        <w:t xml:space="preserve"> ή και </w:t>
      </w:r>
      <w:r>
        <w:t>IVDR</w:t>
      </w:r>
      <w:r>
        <w:rPr>
          <w:lang w:val="el-GR"/>
        </w:rPr>
        <w:t xml:space="preserve">). Σε περίπτωση που καμία προσφέρουσα εταιρία δεν διαθέτει το ζητούμενο αντιδραστήριο με </w:t>
      </w:r>
      <w:r>
        <w:t>CE</w:t>
      </w:r>
      <w:r>
        <w:rPr>
          <w:lang w:val="el-GR"/>
        </w:rPr>
        <w:t>/</w:t>
      </w:r>
      <w:r>
        <w:t>IVD</w:t>
      </w:r>
      <w:r>
        <w:rPr>
          <w:lang w:val="el-GR"/>
        </w:rPr>
        <w:t xml:space="preserve"> ή και </w:t>
      </w:r>
      <w:r>
        <w:t>IVDR</w:t>
      </w:r>
      <w:r>
        <w:rPr>
          <w:lang w:val="el-GR"/>
        </w:rPr>
        <w:t xml:space="preserve"> θα γίνει αποδεκτό αντιδραστήριο με πιστοποίηση </w:t>
      </w:r>
      <w:r>
        <w:t>ASR</w:t>
      </w:r>
      <w:r>
        <w:rPr>
          <w:lang w:val="el-GR"/>
        </w:rPr>
        <w:t xml:space="preserve">, </w:t>
      </w:r>
      <w:r>
        <w:t>GMP</w:t>
      </w:r>
      <w:r>
        <w:rPr>
          <w:lang w:val="el-GR"/>
        </w:rPr>
        <w:t xml:space="preserve"> ή </w:t>
      </w:r>
      <w:r>
        <w:t>RUO</w:t>
      </w:r>
      <w:r>
        <w:rPr>
          <w:lang w:val="el-GR"/>
        </w:rPr>
        <w:t xml:space="preserve"> (σε σειρά προτεραιότητας).</w:t>
      </w:r>
    </w:p>
    <w:p w:rsidR="009D1EDD" w:rsidRDefault="009D1EDD" w:rsidP="009D1EDD">
      <w:pPr>
        <w:spacing w:line="240" w:lineRule="auto"/>
        <w:rPr>
          <w:lang w:val="el-GR"/>
        </w:rPr>
      </w:pPr>
      <w:r>
        <w:rPr>
          <w:lang w:val="el-GR"/>
        </w:rPr>
        <w:t>4.</w:t>
      </w:r>
      <w:r>
        <w:rPr>
          <w:lang w:val="el-GR"/>
        </w:rPr>
        <w:tab/>
        <w:t>Να αναφέρεται η ημερομηνία λήξης (διάρκεια ζωής) των αντιδραστηρίων η οποία θα πρέπει να είναι μεγαλύτερη των 3 μηνών από το άνοιγμα της συσκευασίας.</w:t>
      </w:r>
    </w:p>
    <w:p w:rsidR="009D1EDD" w:rsidRDefault="009D1EDD" w:rsidP="009D1EDD">
      <w:pPr>
        <w:spacing w:line="240" w:lineRule="auto"/>
        <w:rPr>
          <w:lang w:val="el-GR"/>
        </w:rPr>
      </w:pPr>
      <w:r>
        <w:rPr>
          <w:lang w:val="el-GR"/>
        </w:rPr>
        <w:t>5.</w:t>
      </w:r>
      <w:r>
        <w:rPr>
          <w:lang w:val="el-GR"/>
        </w:rPr>
        <w:tab/>
        <w:t>Κατά τη διάρκεια της σύμβασης να υπάρχει η δυνατότητα αντικατάστασης επιλεγμένων αντιδραστηρίων με νέα αντίστοιχου κόστους έτσι ώστε να υπάρχει εναρμόνιση των πρωτοκόλλων του Εργαστηρίου με τις κατευθυντήριες οδηγίες των Διεθνών Επιστημονικών Ομάδων, χωρίς να γίνεται υπέρβαση του προϋπολογισμού.</w:t>
      </w:r>
    </w:p>
    <w:p w:rsidR="009D1EDD" w:rsidRDefault="009D1EDD" w:rsidP="009D1EDD">
      <w:pPr>
        <w:spacing w:line="240" w:lineRule="auto"/>
        <w:rPr>
          <w:lang w:val="el-GR"/>
        </w:rPr>
      </w:pPr>
      <w:r>
        <w:rPr>
          <w:lang w:val="el-GR"/>
        </w:rPr>
        <w:t>6.</w:t>
      </w:r>
      <w:r>
        <w:rPr>
          <w:lang w:val="el-GR"/>
        </w:rPr>
        <w:tab/>
        <w:t xml:space="preserve">Όπου ζητείται συνδυασμός </w:t>
      </w:r>
      <w:proofErr w:type="spellStart"/>
      <w:r>
        <w:rPr>
          <w:lang w:val="el-GR"/>
        </w:rPr>
        <w:t>μονοκλωνικών</w:t>
      </w:r>
      <w:proofErr w:type="spellEnd"/>
      <w:r>
        <w:rPr>
          <w:lang w:val="el-GR"/>
        </w:rPr>
        <w:t xml:space="preserve"> με συγκεκριμένα </w:t>
      </w:r>
      <w:proofErr w:type="spellStart"/>
      <w:r>
        <w:rPr>
          <w:lang w:val="el-GR"/>
        </w:rPr>
        <w:t>φθοριοχρώματα</w:t>
      </w:r>
      <w:proofErr w:type="spellEnd"/>
      <w:r>
        <w:rPr>
          <w:lang w:val="el-GR"/>
        </w:rPr>
        <w:t xml:space="preserve"> σε ένα σωληνάριο  θα γίνει αποδεκτός και αντίστοιχος συνδυασμός </w:t>
      </w:r>
      <w:proofErr w:type="spellStart"/>
      <w:r>
        <w:rPr>
          <w:lang w:val="el-GR"/>
        </w:rPr>
        <w:t>φθοριοχρωμάτων</w:t>
      </w:r>
      <w:proofErr w:type="spellEnd"/>
      <w:r>
        <w:rPr>
          <w:lang w:val="el-GR"/>
        </w:rPr>
        <w:t xml:space="preserve"> σε ένα σωληνάριο.</w:t>
      </w:r>
    </w:p>
    <w:p w:rsidR="009D1EDD" w:rsidRDefault="009D1EDD" w:rsidP="009D1EDD">
      <w:pPr>
        <w:spacing w:line="240" w:lineRule="auto"/>
        <w:rPr>
          <w:lang w:val="el-GR"/>
        </w:rPr>
      </w:pPr>
      <w:r>
        <w:rPr>
          <w:lang w:val="el-GR"/>
        </w:rPr>
        <w:t>7.</w:t>
      </w:r>
      <w:r>
        <w:rPr>
          <w:lang w:val="el-GR"/>
        </w:rPr>
        <w:tab/>
        <w:t>Όπου ζητείται κιτ θα πρέπει να προσφερθεί κιτ με τα αντισώματα και τα αντίστοιχα αντιδραστήρια.</w:t>
      </w:r>
    </w:p>
    <w:p w:rsidR="009D1EDD" w:rsidRDefault="009D1EDD" w:rsidP="009D1EDD">
      <w:pPr>
        <w:spacing w:line="240" w:lineRule="auto"/>
        <w:rPr>
          <w:lang w:val="el-GR"/>
        </w:rPr>
      </w:pPr>
      <w:r>
        <w:rPr>
          <w:lang w:val="el-GR"/>
        </w:rPr>
        <w:t>8.</w:t>
      </w:r>
      <w:r>
        <w:rPr>
          <w:lang w:val="el-GR"/>
        </w:rPr>
        <w:tab/>
        <w:t>Το εργαστήριο δύναται να ζητήσει δείγμα του προϊόντος προς δοκιμή εφόσον κριθεί απαραίτητο. Συγκεκριμένες προσφορές από εταιρείες που ενδεχομένως αρνηθούν να προσκομίσουν δείγματα θα αποκλειστούν από την επιτροπή αξιολόγησης.</w:t>
      </w:r>
    </w:p>
    <w:p w:rsidR="009D1EDD" w:rsidRDefault="009D1EDD" w:rsidP="009D1EDD">
      <w:pPr>
        <w:spacing w:line="240" w:lineRule="auto"/>
        <w:rPr>
          <w:lang w:val="el-GR"/>
        </w:rPr>
      </w:pPr>
      <w:r>
        <w:rPr>
          <w:lang w:val="el-GR"/>
        </w:rPr>
        <w:t>9.</w:t>
      </w:r>
      <w:r>
        <w:rPr>
          <w:lang w:val="el-GR"/>
        </w:rPr>
        <w:tab/>
        <w:t>Θα εκτιμηθεί η πρότερη εμπειρία του εργαστηρίου καθώς και τα ήδη υπάρχοντα πρωτόκολλα που είναι εναρμονισμένα σε διεθνή κριτήρια.</w:t>
      </w:r>
    </w:p>
    <w:p w:rsidR="009D1EDD" w:rsidRDefault="009D1EDD" w:rsidP="009D1EDD">
      <w:pPr>
        <w:spacing w:line="240" w:lineRule="auto"/>
        <w:rPr>
          <w:lang w:val="el-GR"/>
        </w:rPr>
      </w:pPr>
      <w:r>
        <w:rPr>
          <w:lang w:val="el-GR"/>
        </w:rPr>
        <w:t>10.</w:t>
      </w:r>
      <w:r>
        <w:rPr>
          <w:lang w:val="el-GR"/>
        </w:rPr>
        <w:tab/>
        <w:t>Η παραλαβή των αντιδραστηρίων από το εργαστήριο δεν θα πρέπει να καθυστερεί πάνω από 4 εβδομάδες από την παραλαβή της παραγγελίας από την αντίστοιχη εταιρεία.</w:t>
      </w:r>
    </w:p>
    <w:p w:rsidR="0009146E" w:rsidRPr="00C97085" w:rsidRDefault="009D1EDD" w:rsidP="009D1EDD">
      <w:pPr>
        <w:jc w:val="both"/>
        <w:rPr>
          <w:lang w:val="el-GR"/>
        </w:rPr>
      </w:pPr>
      <w:r>
        <w:rPr>
          <w:lang w:val="el-GR"/>
        </w:rPr>
        <w:lastRenderedPageBreak/>
        <w:t>11.</w:t>
      </w:r>
      <w:r>
        <w:rPr>
          <w:lang w:val="el-GR"/>
        </w:rPr>
        <w:tab/>
        <w:t>Μετά την ολοκλήρωση του διαγωνισμού και εφόσον το κατοχυρωμένο αντιδραστήριο/μονοκλωνικό δε λειτουργεί επαρκώς κρίνεται απαραίτητη η δυνατότητα αντικατάστασής του από το αντίστοιχο αντιδραστήριο/μονοκλωνικό</w:t>
      </w:r>
    </w:p>
    <w:sectPr w:rsidR="0009146E" w:rsidRPr="00C97085" w:rsidSect="0006474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085"/>
    <w:rsid w:val="00064749"/>
    <w:rsid w:val="0009146E"/>
    <w:rsid w:val="0021039A"/>
    <w:rsid w:val="00345E5D"/>
    <w:rsid w:val="00505100"/>
    <w:rsid w:val="005C4012"/>
    <w:rsid w:val="00687F6A"/>
    <w:rsid w:val="006A2660"/>
    <w:rsid w:val="006C6897"/>
    <w:rsid w:val="009D1EDD"/>
    <w:rsid w:val="00C97085"/>
    <w:rsid w:val="00D0091E"/>
    <w:rsid w:val="00E42FFE"/>
    <w:rsid w:val="00FF7C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9D1EDD"/>
    <w:pPr>
      <w:spacing w:before="100" w:beforeAutospacing="1" w:after="100" w:afterAutospacing="1" w:line="360" w:lineRule="auto"/>
      <w:jc w:val="both"/>
    </w:pPr>
    <w:rPr>
      <w:rFonts w:ascii="Calibri" w:eastAsia="Times New Roman" w:hAnsi="Calibri"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4810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39687-7FF0-47F7-AD65-25C78891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1775</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Δούκα</dc:creator>
  <cp:lastModifiedBy>promithiesuser6</cp:lastModifiedBy>
  <cp:revision>2</cp:revision>
  <cp:lastPrinted>2023-08-17T08:15:00Z</cp:lastPrinted>
  <dcterms:created xsi:type="dcterms:W3CDTF">2024-06-26T06:48:00Z</dcterms:created>
  <dcterms:modified xsi:type="dcterms:W3CDTF">2024-06-26T06:48:00Z</dcterms:modified>
</cp:coreProperties>
</file>